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6ED5" w14:textId="77777777" w:rsidR="00BD6F35" w:rsidRPr="00BD6F35" w:rsidRDefault="00BD6F35" w:rsidP="00BD6F35">
      <w:pPr>
        <w:rPr>
          <w:rFonts w:ascii="Garamond" w:hAnsi="Garamond"/>
        </w:rPr>
      </w:pPr>
      <w:r w:rsidRPr="00BD6F35">
        <w:rPr>
          <w:rFonts w:ascii="Garamond" w:hAnsi="Garamond"/>
        </w:rPr>
        <w:t>Områden som är aktuella för medel är suicidprevention, samsjuklighet och brukarmedverkan.</w:t>
      </w:r>
    </w:p>
    <w:p w14:paraId="352F6ED6" w14:textId="77777777" w:rsidR="00BD6F35" w:rsidRPr="00BD6F35" w:rsidRDefault="00BD6F35" w:rsidP="00BD6F35">
      <w:pPr>
        <w:rPr>
          <w:rFonts w:ascii="Garamond" w:hAnsi="Garamond"/>
          <w:b/>
        </w:rPr>
      </w:pPr>
    </w:p>
    <w:p w14:paraId="352F6ED7" w14:textId="77777777" w:rsidR="00BD6F35" w:rsidRPr="00BD6F35" w:rsidRDefault="00BD6F35" w:rsidP="00BD6F35">
      <w:pPr>
        <w:rPr>
          <w:rFonts w:ascii="Garamond" w:hAnsi="Garamond"/>
          <w:b/>
        </w:rPr>
      </w:pPr>
      <w:r w:rsidRPr="00BD6F35">
        <w:rPr>
          <w:rFonts w:ascii="Garamond" w:hAnsi="Garamond"/>
          <w:b/>
        </w:rPr>
        <w:t>PROJEKTPLAN</w:t>
      </w:r>
    </w:p>
    <w:p w14:paraId="352F6ED8" w14:textId="77777777" w:rsidR="00BD6F35" w:rsidRPr="00BD6F35" w:rsidRDefault="00BD6F35" w:rsidP="00BD6F35">
      <w:pPr>
        <w:rPr>
          <w:rFonts w:ascii="Garamond" w:hAnsi="Garamond"/>
        </w:rPr>
      </w:pPr>
    </w:p>
    <w:tbl>
      <w:tblPr>
        <w:tblW w:w="97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6461"/>
      </w:tblGrid>
      <w:tr w:rsidR="00BD6F35" w:rsidRPr="00BD6F35" w14:paraId="352F6EDB" w14:textId="77777777" w:rsidTr="0073415D">
        <w:trPr>
          <w:trHeight w:val="450"/>
        </w:trPr>
        <w:tc>
          <w:tcPr>
            <w:tcW w:w="3331" w:type="dxa"/>
            <w:vAlign w:val="center"/>
          </w:tcPr>
          <w:p w14:paraId="352F6ED9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Projektets namn:</w:t>
            </w:r>
          </w:p>
        </w:tc>
        <w:tc>
          <w:tcPr>
            <w:tcW w:w="6461" w:type="dxa"/>
            <w:vAlign w:val="center"/>
          </w:tcPr>
          <w:p w14:paraId="352F6EDA" w14:textId="19B10DEC" w:rsidR="00BD6F35" w:rsidRPr="00A72CEA" w:rsidRDefault="009B679C" w:rsidP="00BD6F35">
            <w:pPr>
              <w:rPr>
                <w:rFonts w:ascii="Garamond" w:hAnsi="Garamond"/>
                <w:b/>
                <w:bCs/>
              </w:rPr>
            </w:pPr>
            <w:r w:rsidRPr="00A72CEA">
              <w:rPr>
                <w:rFonts w:ascii="Garamond" w:hAnsi="Garamond"/>
                <w:b/>
                <w:bCs/>
              </w:rPr>
              <w:t>Fortsatt FACT i samverkan 2023</w:t>
            </w:r>
          </w:p>
        </w:tc>
      </w:tr>
      <w:tr w:rsidR="00BD6F35" w:rsidRPr="00BD6F35" w14:paraId="352F6EDF" w14:textId="77777777" w:rsidTr="0073415D">
        <w:tc>
          <w:tcPr>
            <w:tcW w:w="3331" w:type="dxa"/>
            <w:vAlign w:val="center"/>
          </w:tcPr>
          <w:p w14:paraId="352F6EDC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Projektansvarig/projektledare:</w:t>
            </w:r>
          </w:p>
          <w:p w14:paraId="352F6EDD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Vem ansvarar för projektet och projekt genomförande?</w:t>
            </w:r>
          </w:p>
        </w:tc>
        <w:tc>
          <w:tcPr>
            <w:tcW w:w="6461" w:type="dxa"/>
            <w:vAlign w:val="center"/>
          </w:tcPr>
          <w:p w14:paraId="352F6EDE" w14:textId="5E742C71" w:rsidR="00BD6F35" w:rsidRPr="00BD6F35" w:rsidRDefault="004A519E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Psykosteamet Kristianstad</w:t>
            </w:r>
          </w:p>
        </w:tc>
      </w:tr>
      <w:tr w:rsidR="00BD6F35" w:rsidRPr="00BD6F35" w14:paraId="352F6EE3" w14:textId="77777777" w:rsidTr="0073415D">
        <w:tc>
          <w:tcPr>
            <w:tcW w:w="3331" w:type="dxa"/>
            <w:vAlign w:val="center"/>
          </w:tcPr>
          <w:p w14:paraId="352F6EE0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Bakgrund:</w:t>
            </w:r>
          </w:p>
          <w:p w14:paraId="352F6EE1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Vad är anledningen till att man vill genomföra projektet? Tydlig koppling till målet och nyttan.</w:t>
            </w:r>
          </w:p>
        </w:tc>
        <w:tc>
          <w:tcPr>
            <w:tcW w:w="6461" w:type="dxa"/>
            <w:vAlign w:val="center"/>
          </w:tcPr>
          <w:p w14:paraId="411ABF6F" w14:textId="77777777" w:rsidR="00F33DBE" w:rsidRDefault="003408B3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Människor med psykossjukdom har allvarlig psykisk ohälsa och är ofta i stort behov av stora insatser av vård och omsorg från både specialistpsykiatri och kommunala insatser från socialtjänst och vård och omsorg. Det f</w:t>
            </w:r>
            <w:r w:rsidR="00E604C6">
              <w:rPr>
                <w:rFonts w:ascii="Garamond" w:hAnsi="Garamond"/>
              </w:rPr>
              <w:t xml:space="preserve">inns stora behov av att hjälpas åt och </w:t>
            </w:r>
            <w:proofErr w:type="spellStart"/>
            <w:r w:rsidR="00E604C6">
              <w:rPr>
                <w:rFonts w:ascii="Garamond" w:hAnsi="Garamond"/>
              </w:rPr>
              <w:t>kompetensförstärka</w:t>
            </w:r>
            <w:proofErr w:type="spellEnd"/>
            <w:r w:rsidR="00E604C6">
              <w:rPr>
                <w:rFonts w:ascii="Garamond" w:hAnsi="Garamond"/>
              </w:rPr>
              <w:t xml:space="preserve"> varandra för att understödja friskfaktorer och förbättra levnadsvillkor för de enskilda. </w:t>
            </w:r>
          </w:p>
          <w:p w14:paraId="352F6EE2" w14:textId="5BBEC865" w:rsidR="00F33DBE" w:rsidRPr="00BD6F35" w:rsidRDefault="00F33DBE" w:rsidP="00BD6F35">
            <w:pPr>
              <w:rPr>
                <w:rFonts w:ascii="Garamond" w:hAnsi="Garamond"/>
              </w:rPr>
            </w:pPr>
          </w:p>
        </w:tc>
      </w:tr>
      <w:tr w:rsidR="00BD6F35" w:rsidRPr="00BD6F35" w14:paraId="352F6EE9" w14:textId="77777777" w:rsidTr="0073415D">
        <w:tc>
          <w:tcPr>
            <w:tcW w:w="3331" w:type="dxa"/>
            <w:vAlign w:val="center"/>
          </w:tcPr>
          <w:p w14:paraId="352F6EE4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Syfte:</w:t>
            </w:r>
          </w:p>
          <w:p w14:paraId="352F6EE5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Vad ska projektet leda fram till? Varför är det viktigt att detta genomförs?</w:t>
            </w:r>
          </w:p>
        </w:tc>
        <w:tc>
          <w:tcPr>
            <w:tcW w:w="6461" w:type="dxa"/>
            <w:vAlign w:val="center"/>
          </w:tcPr>
          <w:p w14:paraId="352F6EE6" w14:textId="00782062" w:rsidR="00BD6F35" w:rsidRPr="00BD6F35" w:rsidRDefault="004A519E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 öka samverkan och kompetensförstärkning kring människor med psykossjukdom</w:t>
            </w:r>
            <w:r w:rsidR="00F33DBE">
              <w:rPr>
                <w:rFonts w:ascii="Garamond" w:hAnsi="Garamond"/>
              </w:rPr>
              <w:t xml:space="preserve"> och fortsätta utveckla god samverkan sedan införande av FACT i psykosvård i Region Skåne och tidigare projekt finansierat av delregionala medel (2021). </w:t>
            </w:r>
          </w:p>
          <w:p w14:paraId="352F6EE7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  <w:p w14:paraId="352F6EE8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</w:tr>
      <w:tr w:rsidR="00BD6F35" w:rsidRPr="00BD6F35" w14:paraId="352F6EF1" w14:textId="77777777" w:rsidTr="0073415D">
        <w:tc>
          <w:tcPr>
            <w:tcW w:w="3331" w:type="dxa"/>
          </w:tcPr>
          <w:p w14:paraId="352F6EEA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Mål:</w:t>
            </w:r>
          </w:p>
          <w:p w14:paraId="352F6EEB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Kortsiktiga och långsiktiga mål.</w:t>
            </w:r>
          </w:p>
          <w:p w14:paraId="352F6EEC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Mätbara mål om möjligt.</w:t>
            </w:r>
          </w:p>
        </w:tc>
        <w:tc>
          <w:tcPr>
            <w:tcW w:w="6461" w:type="dxa"/>
            <w:vAlign w:val="center"/>
          </w:tcPr>
          <w:p w14:paraId="352F6EED" w14:textId="427C3667" w:rsidR="00BD6F35" w:rsidRPr="00BD6F35" w:rsidRDefault="004A519E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Att genom råd och stöd kring patienter med psykossjukdom möta patienterna i integrerade arbetsformer i enlighet med FACT (Flexible </w:t>
            </w:r>
            <w:proofErr w:type="spellStart"/>
            <w:r>
              <w:rPr>
                <w:rFonts w:ascii="Garamond" w:hAnsi="Garamond"/>
              </w:rPr>
              <w:t>Assertive</w:t>
            </w:r>
            <w:proofErr w:type="spellEnd"/>
            <w:r>
              <w:rPr>
                <w:rFonts w:ascii="Garamond" w:hAnsi="Garamond"/>
              </w:rPr>
              <w:t xml:space="preserve"> Community </w:t>
            </w:r>
            <w:proofErr w:type="spellStart"/>
            <w:r>
              <w:rPr>
                <w:rFonts w:ascii="Garamond" w:hAnsi="Garamond"/>
              </w:rPr>
              <w:t>Treatment</w:t>
            </w:r>
            <w:proofErr w:type="spellEnd"/>
            <w:r>
              <w:rPr>
                <w:rFonts w:ascii="Garamond" w:hAnsi="Garamond"/>
              </w:rPr>
              <w:t>) och öka samverkan för att optimera hälsa och omsorg för patienter med stora vårdbehov och psykossjukdom.</w:t>
            </w:r>
          </w:p>
          <w:p w14:paraId="352F6EEE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  <w:p w14:paraId="352F6EEF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  <w:p w14:paraId="352F6EF0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</w:tr>
      <w:tr w:rsidR="00BD6F35" w:rsidRPr="00BD6F35" w14:paraId="352F6EF6" w14:textId="77777777" w:rsidTr="0073415D">
        <w:tc>
          <w:tcPr>
            <w:tcW w:w="3331" w:type="dxa"/>
            <w:vAlign w:val="center"/>
          </w:tcPr>
          <w:p w14:paraId="352F6EF2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Avgränsningar:</w:t>
            </w:r>
          </w:p>
          <w:p w14:paraId="352F6EF3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 xml:space="preserve">Eventuella avgränsningar. </w:t>
            </w:r>
          </w:p>
          <w:p w14:paraId="352F6EF4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EF5" w14:textId="70710F9E" w:rsidR="00BD6F35" w:rsidRPr="00BD6F35" w:rsidRDefault="00A72CEA" w:rsidP="00BD6F3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Psykosteamet Kristianstad tillsammans med kommunerna Kristianstad, Bromölla och Östra Göinge. </w:t>
            </w:r>
          </w:p>
        </w:tc>
      </w:tr>
      <w:tr w:rsidR="00BD6F35" w:rsidRPr="00BD6F35" w14:paraId="352F6EFB" w14:textId="77777777" w:rsidTr="0073415D">
        <w:tc>
          <w:tcPr>
            <w:tcW w:w="3331" w:type="dxa"/>
            <w:vAlign w:val="center"/>
          </w:tcPr>
          <w:p w14:paraId="352F6EF7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 xml:space="preserve">Tidplan: </w:t>
            </w:r>
          </w:p>
          <w:p w14:paraId="352F6EF8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Beräknad början och slutdatum för projektet.</w:t>
            </w:r>
          </w:p>
          <w:p w14:paraId="352F6EF9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EFA" w14:textId="39130FC0" w:rsidR="00BD6F35" w:rsidRPr="00BD6F35" w:rsidRDefault="004A519E" w:rsidP="00BD6F3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Planering maj-aug och aktivitet </w:t>
            </w:r>
            <w:proofErr w:type="spellStart"/>
            <w:r>
              <w:rPr>
                <w:rFonts w:ascii="Garamond" w:hAnsi="Garamond"/>
                <w:bCs/>
              </w:rPr>
              <w:t>sept</w:t>
            </w:r>
            <w:proofErr w:type="spellEnd"/>
            <w:r>
              <w:rPr>
                <w:rFonts w:ascii="Garamond" w:hAnsi="Garamond"/>
                <w:bCs/>
              </w:rPr>
              <w:t>-dec 2023.</w:t>
            </w:r>
          </w:p>
        </w:tc>
      </w:tr>
      <w:tr w:rsidR="00BD6F35" w:rsidRPr="00BD6F35" w14:paraId="352F6EFF" w14:textId="77777777" w:rsidTr="0073415D">
        <w:tc>
          <w:tcPr>
            <w:tcW w:w="3331" w:type="dxa"/>
            <w:vAlign w:val="center"/>
          </w:tcPr>
          <w:p w14:paraId="352F6EFC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Organisation och bemanning:</w:t>
            </w:r>
          </w:p>
          <w:p w14:paraId="352F6EFD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Organisationsstruktur som anger projektroller (befogenheter och ansvar).</w:t>
            </w:r>
          </w:p>
        </w:tc>
        <w:tc>
          <w:tcPr>
            <w:tcW w:w="6461" w:type="dxa"/>
            <w:vAlign w:val="center"/>
          </w:tcPr>
          <w:p w14:paraId="352F6EFE" w14:textId="2E8F5EE3" w:rsidR="00BD6F35" w:rsidRPr="00BD6F35" w:rsidRDefault="00635711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Att kunna avsätta personal, tid och utrymme för aktivitet kring råd, stöd och information. </w:t>
            </w:r>
          </w:p>
        </w:tc>
      </w:tr>
      <w:tr w:rsidR="00BD6F35" w:rsidRPr="00BD6F35" w14:paraId="352F6F04" w14:textId="77777777" w:rsidTr="0073415D">
        <w:tc>
          <w:tcPr>
            <w:tcW w:w="3331" w:type="dxa"/>
            <w:vAlign w:val="center"/>
          </w:tcPr>
          <w:p w14:paraId="352F6F00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Ekonomiska ramar/budget:</w:t>
            </w:r>
          </w:p>
          <w:p w14:paraId="352F6F01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Beräknad kostnad för projektet.</w:t>
            </w:r>
          </w:p>
          <w:p w14:paraId="352F6F02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03" w14:textId="383A036E" w:rsidR="00BD6F35" w:rsidRPr="00BD6F35" w:rsidRDefault="00A72CEA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381306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0 000 kr.</w:t>
            </w:r>
          </w:p>
        </w:tc>
      </w:tr>
      <w:tr w:rsidR="00B27F1C" w:rsidRPr="00BD6F35" w14:paraId="352F6F08" w14:textId="77777777" w:rsidTr="0073415D">
        <w:tc>
          <w:tcPr>
            <w:tcW w:w="3331" w:type="dxa"/>
            <w:vAlign w:val="center"/>
          </w:tcPr>
          <w:p w14:paraId="352F6F05" w14:textId="77777777" w:rsidR="00B27F1C" w:rsidRPr="00BD6F35" w:rsidRDefault="00B27F1C" w:rsidP="00B27F1C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lastRenderedPageBreak/>
              <w:t>Uppföljning:</w:t>
            </w:r>
          </w:p>
          <w:p w14:paraId="352F6F06" w14:textId="12808E73" w:rsidR="00B27F1C" w:rsidRPr="00BD6F35" w:rsidRDefault="00B27F1C" w:rsidP="00B27F1C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</w:rPr>
              <w:t>Projektet ska kunna redovisas i slutet av 202</w:t>
            </w:r>
            <w:r>
              <w:rPr>
                <w:rFonts w:ascii="Garamond" w:hAnsi="Garamond"/>
              </w:rPr>
              <w:t>3</w:t>
            </w:r>
            <w:r w:rsidRPr="00BD6F35">
              <w:rPr>
                <w:rFonts w:ascii="Garamond" w:hAnsi="Garamond"/>
              </w:rPr>
              <w:t>.</w:t>
            </w:r>
          </w:p>
        </w:tc>
        <w:tc>
          <w:tcPr>
            <w:tcW w:w="6461" w:type="dxa"/>
            <w:vAlign w:val="center"/>
          </w:tcPr>
          <w:p w14:paraId="352F6F07" w14:textId="3F0AACBF" w:rsidR="00B27F1C" w:rsidRPr="00BD6F35" w:rsidRDefault="00B27F1C" w:rsidP="00B27F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Återrapportering till psykiatrisamordnare Jennie Salmén och SIRIUS december 2023. </w:t>
            </w:r>
          </w:p>
        </w:tc>
      </w:tr>
    </w:tbl>
    <w:p w14:paraId="352F6F09" w14:textId="77777777" w:rsidR="00BD6F35" w:rsidRDefault="00BD6F35" w:rsidP="00BD6F35">
      <w:pPr>
        <w:rPr>
          <w:rFonts w:ascii="Garamond" w:hAnsi="Garamond"/>
          <w:b/>
          <w:sz w:val="32"/>
          <w:szCs w:val="32"/>
        </w:rPr>
      </w:pPr>
    </w:p>
    <w:tbl>
      <w:tblPr>
        <w:tblpPr w:leftFromText="141" w:rightFromText="141" w:horzAnchor="page" w:tblpX="2125" w:tblpY="-13440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6461"/>
      </w:tblGrid>
      <w:tr w:rsidR="00BD6F35" w:rsidRPr="005D2027" w14:paraId="352F6F0C" w14:textId="77777777" w:rsidTr="00966972">
        <w:tc>
          <w:tcPr>
            <w:tcW w:w="3331" w:type="dxa"/>
            <w:vAlign w:val="center"/>
          </w:tcPr>
          <w:p w14:paraId="352F6F0A" w14:textId="77777777" w:rsidR="00BD6F35" w:rsidRPr="00EC11CB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0B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0F" w14:textId="77777777" w:rsidTr="00966972">
        <w:tc>
          <w:tcPr>
            <w:tcW w:w="3331" w:type="dxa"/>
            <w:vAlign w:val="center"/>
          </w:tcPr>
          <w:p w14:paraId="352F6F0D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0E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12" w14:textId="77777777" w:rsidTr="00966972">
        <w:tc>
          <w:tcPr>
            <w:tcW w:w="3331" w:type="dxa"/>
          </w:tcPr>
          <w:p w14:paraId="352F6F10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1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15" w14:textId="77777777" w:rsidTr="00966972">
        <w:tc>
          <w:tcPr>
            <w:tcW w:w="3331" w:type="dxa"/>
            <w:vAlign w:val="center"/>
          </w:tcPr>
          <w:p w14:paraId="352F6F13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4" w14:textId="77777777" w:rsidR="00BD6F35" w:rsidRPr="005D2027" w:rsidRDefault="00BD6F35" w:rsidP="00966972">
            <w:pPr>
              <w:pStyle w:val="Normalwebb"/>
              <w:rPr>
                <w:rFonts w:ascii="Garamond" w:hAnsi="Garamond"/>
                <w:bCs/>
              </w:rPr>
            </w:pPr>
          </w:p>
        </w:tc>
      </w:tr>
      <w:tr w:rsidR="00966972" w:rsidRPr="005D2027" w14:paraId="352F6F18" w14:textId="77777777" w:rsidTr="00966972">
        <w:tc>
          <w:tcPr>
            <w:tcW w:w="3331" w:type="dxa"/>
            <w:vAlign w:val="center"/>
          </w:tcPr>
          <w:p w14:paraId="352F6F16" w14:textId="77777777" w:rsidR="00966972" w:rsidRPr="005D2027" w:rsidRDefault="00966972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7" w14:textId="77777777" w:rsidR="00966972" w:rsidRPr="005D2027" w:rsidRDefault="00966972" w:rsidP="00966972">
            <w:pPr>
              <w:pStyle w:val="Normalwebb"/>
              <w:rPr>
                <w:rFonts w:ascii="Garamond" w:hAnsi="Garamond"/>
                <w:bCs/>
              </w:rPr>
            </w:pPr>
          </w:p>
        </w:tc>
      </w:tr>
      <w:tr w:rsidR="00BD6F35" w:rsidRPr="005D2027" w14:paraId="352F6F1B" w14:textId="77777777" w:rsidTr="00966972">
        <w:tc>
          <w:tcPr>
            <w:tcW w:w="3331" w:type="dxa"/>
            <w:vAlign w:val="center"/>
          </w:tcPr>
          <w:p w14:paraId="352F6F19" w14:textId="77777777" w:rsidR="00BD6F35" w:rsidRPr="005603CA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A" w14:textId="77777777" w:rsidR="00BD6F35" w:rsidRPr="005D2027" w:rsidRDefault="00BD6F35" w:rsidP="00966972">
            <w:pPr>
              <w:pStyle w:val="Normalwebb"/>
              <w:rPr>
                <w:rFonts w:ascii="Garamond" w:hAnsi="Garamond"/>
                <w:bCs/>
              </w:rPr>
            </w:pPr>
          </w:p>
        </w:tc>
      </w:tr>
      <w:tr w:rsidR="00BD6F35" w:rsidRPr="005D2027" w14:paraId="352F6F1E" w14:textId="77777777" w:rsidTr="00966972">
        <w:tc>
          <w:tcPr>
            <w:tcW w:w="3331" w:type="dxa"/>
            <w:vAlign w:val="center"/>
          </w:tcPr>
          <w:p w14:paraId="352F6F1C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D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21" w14:textId="77777777" w:rsidTr="00966972">
        <w:trPr>
          <w:trHeight w:val="443"/>
        </w:trPr>
        <w:tc>
          <w:tcPr>
            <w:tcW w:w="3331" w:type="dxa"/>
            <w:vAlign w:val="center"/>
          </w:tcPr>
          <w:p w14:paraId="352F6F1F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20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24" w14:textId="77777777" w:rsidTr="00966972">
        <w:tc>
          <w:tcPr>
            <w:tcW w:w="3331" w:type="dxa"/>
            <w:vAlign w:val="center"/>
          </w:tcPr>
          <w:p w14:paraId="352F6F22" w14:textId="77777777" w:rsidR="00BD6F35" w:rsidRPr="005D2027" w:rsidRDefault="00BD6F35" w:rsidP="00966972">
            <w:pPr>
              <w:rPr>
                <w:rFonts w:ascii="Garamond" w:hAnsi="Garamond"/>
                <w:b/>
              </w:rPr>
            </w:pPr>
          </w:p>
        </w:tc>
        <w:tc>
          <w:tcPr>
            <w:tcW w:w="6461" w:type="dxa"/>
            <w:vAlign w:val="center"/>
          </w:tcPr>
          <w:p w14:paraId="352F6F23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</w:tbl>
    <w:p w14:paraId="352F6F25" w14:textId="77777777" w:rsidR="00BD6F35" w:rsidRPr="005D2027" w:rsidRDefault="00BD6F35" w:rsidP="00BD6F35">
      <w:pPr>
        <w:rPr>
          <w:rFonts w:ascii="Garamond" w:hAnsi="Garamond"/>
          <w:sz w:val="16"/>
          <w:szCs w:val="16"/>
        </w:rPr>
      </w:pPr>
    </w:p>
    <w:p w14:paraId="352F6F26" w14:textId="77777777" w:rsidR="00BD6F35" w:rsidRDefault="00BD6F35" w:rsidP="00BD6F35"/>
    <w:p w14:paraId="352F6F27" w14:textId="77777777" w:rsidR="006056CF" w:rsidRDefault="006056CF"/>
    <w:sectPr w:rsidR="00605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6F2A" w14:textId="77777777" w:rsidR="0061028D" w:rsidRDefault="0061028D" w:rsidP="00BD6F35">
      <w:r>
        <w:separator/>
      </w:r>
    </w:p>
  </w:endnote>
  <w:endnote w:type="continuationSeparator" w:id="0">
    <w:p w14:paraId="352F6F2B" w14:textId="77777777" w:rsidR="0061028D" w:rsidRDefault="0061028D" w:rsidP="00B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9A93" w14:textId="77777777" w:rsidR="006F2773" w:rsidRDefault="006F27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3A4A" w14:textId="77777777" w:rsidR="006F2773" w:rsidRDefault="006F277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B742" w14:textId="77777777" w:rsidR="006F2773" w:rsidRDefault="006F27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6F28" w14:textId="77777777" w:rsidR="0061028D" w:rsidRDefault="0061028D" w:rsidP="00BD6F35">
      <w:r>
        <w:separator/>
      </w:r>
    </w:p>
  </w:footnote>
  <w:footnote w:type="continuationSeparator" w:id="0">
    <w:p w14:paraId="352F6F29" w14:textId="77777777" w:rsidR="0061028D" w:rsidRDefault="0061028D" w:rsidP="00B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CEDA" w14:textId="77777777" w:rsidR="006F2773" w:rsidRDefault="006F27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6F2C" w14:textId="77777777" w:rsidR="002E4692" w:rsidRDefault="00BD6F35">
    <w:pPr>
      <w:pStyle w:val="Sidhuvud"/>
    </w:pPr>
    <w:r w:rsidRPr="00BD6F35">
      <w:rPr>
        <w:noProof/>
      </w:rPr>
      <w:drawing>
        <wp:inline distT="0" distB="0" distL="0" distR="0" wp14:anchorId="352F6F30" wp14:editId="352F6F31">
          <wp:extent cx="409575" cy="456565"/>
          <wp:effectExtent l="0" t="0" r="9525" b="635"/>
          <wp:docPr id="205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98" cy="471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2" wp14:editId="352F6F33">
          <wp:extent cx="903806" cy="323215"/>
          <wp:effectExtent l="0" t="0" r="0" b="635"/>
          <wp:docPr id="2053" name="Bildobjekt 5" descr="Bromollavapen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Bildobjekt 5" descr="Bromollavapen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591" cy="331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4" wp14:editId="352F6F35">
          <wp:extent cx="889228" cy="342900"/>
          <wp:effectExtent l="0" t="0" r="6350" b="0"/>
          <wp:docPr id="2055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Bildobjekt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746" cy="34888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6" wp14:editId="352F6F37">
          <wp:extent cx="982267" cy="314325"/>
          <wp:effectExtent l="0" t="0" r="8890" b="0"/>
          <wp:docPr id="2054" name="Bildobjekt 6" descr="http://insidan.kristianstad.se/upload/Styrning_uppfoljning/GrafiskprofilOhandbok/Logotyper/1_Huvudlogotyp/JPEG/Kristianstad_logo_rgb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Bildobjekt 6" descr="http://insidan.kristianstad.se/upload/Styrning_uppfoljning/GrafiskprofilOhandbok/Logotyper/1_Huvudlogotyp/JPEG/Kristianstad_logo_rgb2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38" cy="318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8" wp14:editId="352F6F39">
          <wp:extent cx="767862" cy="304800"/>
          <wp:effectExtent l="0" t="0" r="0" b="0"/>
          <wp:docPr id="205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objekt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02" cy="310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A" wp14:editId="352F6F3B">
          <wp:extent cx="609600" cy="286210"/>
          <wp:effectExtent l="0" t="0" r="0" b="0"/>
          <wp:docPr id="205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Bildobjekt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69" cy="301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C" wp14:editId="352F6F3D">
          <wp:extent cx="929005" cy="285712"/>
          <wp:effectExtent l="0" t="0" r="4445" b="635"/>
          <wp:docPr id="2049" name="Picture 1" descr="cid:image002.png@01D1CBD3.35C1D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cid:image002.png@01D1CBD3.35C1DB1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483" cy="294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2F6F2D" w14:textId="41B09AB8" w:rsidR="001E71DA" w:rsidRPr="00871BDA" w:rsidRDefault="006F2773" w:rsidP="001E71DA">
    <w:pPr>
      <w:tabs>
        <w:tab w:val="left" w:pos="3615"/>
      </w:tabs>
      <w:rPr>
        <w:rFonts w:ascii="Trebuchet MS" w:hAnsi="Trebuchet MS"/>
        <w:b/>
        <w:noProof/>
      </w:rPr>
    </w:pPr>
    <w:r>
      <w:rPr>
        <w:rFonts w:ascii="Trebuchet MS" w:hAnsi="Trebuchet MS"/>
        <w:noProof/>
      </w:rPr>
      <w:br/>
    </w:r>
    <w:r w:rsidR="00871BDA" w:rsidRPr="00871BDA">
      <w:rPr>
        <w:rFonts w:ascii="Trebuchet MS" w:hAnsi="Trebuchet MS"/>
        <w:noProof/>
      </w:rPr>
      <w:t>För att ta del av gemensamma medel 2021 ska projektet ske i samverkan mellan region och kommun samt beskrivas enligt nedan projektplan. Medlen ska användas och projektet påbörjas under 202</w:t>
    </w:r>
    <w:r w:rsidR="00E11AD2">
      <w:rPr>
        <w:rFonts w:ascii="Trebuchet MS" w:hAnsi="Trebuchet MS"/>
        <w:noProof/>
      </w:rPr>
      <w:t>3</w:t>
    </w:r>
    <w:r w:rsidR="00871BDA" w:rsidRPr="00871BDA">
      <w:rPr>
        <w:rFonts w:ascii="Trebuchet MS" w:hAnsi="Trebuchet MS"/>
        <w:noProof/>
      </w:rPr>
      <w:t xml:space="preserve">. </w:t>
    </w:r>
    <w:r w:rsidR="00871BDA" w:rsidRPr="00871BDA">
      <w:rPr>
        <w:rFonts w:ascii="Trebuchet MS" w:hAnsi="Trebuchet MS"/>
        <w:noProof/>
      </w:rPr>
      <w:br/>
      <w:t xml:space="preserve">Ifyllt dokument mailas till </w:t>
    </w:r>
    <w:hyperlink r:id="rId9" w:history="1">
      <w:r w:rsidR="00871BDA" w:rsidRPr="00871BDA">
        <w:rPr>
          <w:rStyle w:val="Hyperlnk"/>
          <w:rFonts w:ascii="Trebuchet MS" w:hAnsi="Trebuchet MS"/>
          <w:noProof/>
        </w:rPr>
        <w:t>jennie.salmen@kristianstad.se</w:t>
      </w:r>
    </w:hyperlink>
    <w:r w:rsidR="00871BDA" w:rsidRPr="00871BDA">
      <w:rPr>
        <w:rFonts w:ascii="Trebuchet MS" w:hAnsi="Trebuchet MS"/>
        <w:noProof/>
      </w:rPr>
      <w:t xml:space="preserve"> senast 9/4 202</w:t>
    </w:r>
    <w:r>
      <w:rPr>
        <w:rFonts w:ascii="Trebuchet MS" w:hAnsi="Trebuchet MS"/>
        <w:noProof/>
      </w:rPr>
      <w:t>3</w:t>
    </w:r>
    <w:r w:rsidR="00871BDA" w:rsidRPr="00871BDA">
      <w:rPr>
        <w:rFonts w:ascii="Trebuchet MS" w:hAnsi="Trebuchet MS"/>
        <w:noProof/>
      </w:rPr>
      <w:t>.</w:t>
    </w:r>
    <w:r w:rsidR="009B21A7" w:rsidRPr="00871BDA">
      <w:rPr>
        <w:rFonts w:ascii="Trebuchet MS" w:hAnsi="Trebuchet MS"/>
        <w:noProof/>
      </w:rPr>
      <w:t xml:space="preserve">  </w:t>
    </w:r>
    <w:r w:rsidR="009B21A7" w:rsidRPr="00871BDA">
      <w:rPr>
        <w:rFonts w:ascii="Trebuchet MS" w:hAnsi="Trebuchet MS"/>
        <w:b/>
        <w:noProof/>
      </w:rPr>
      <w:t xml:space="preserve"> </w:t>
    </w:r>
  </w:p>
  <w:p w14:paraId="352F6F2E" w14:textId="77777777" w:rsidR="00871BDA" w:rsidRPr="001E71DA" w:rsidRDefault="00871BDA" w:rsidP="001E71DA">
    <w:pPr>
      <w:tabs>
        <w:tab w:val="left" w:pos="3615"/>
      </w:tabs>
      <w:rPr>
        <w:rFonts w:ascii="Trebuchet MS" w:hAnsi="Trebuchet MS"/>
        <w:b/>
        <w:noProof/>
      </w:rPr>
    </w:pPr>
  </w:p>
  <w:p w14:paraId="352F6F2F" w14:textId="77777777" w:rsidR="002E4692" w:rsidRDefault="005E598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556E" w14:textId="77777777" w:rsidR="006F2773" w:rsidRDefault="006F277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35"/>
    <w:rsid w:val="00220964"/>
    <w:rsid w:val="00230E78"/>
    <w:rsid w:val="00277146"/>
    <w:rsid w:val="002F7634"/>
    <w:rsid w:val="003408B3"/>
    <w:rsid w:val="00381306"/>
    <w:rsid w:val="004030B6"/>
    <w:rsid w:val="00475FDC"/>
    <w:rsid w:val="004A519E"/>
    <w:rsid w:val="005E598D"/>
    <w:rsid w:val="006056CF"/>
    <w:rsid w:val="0061028D"/>
    <w:rsid w:val="00635711"/>
    <w:rsid w:val="006E4267"/>
    <w:rsid w:val="006F2773"/>
    <w:rsid w:val="00835884"/>
    <w:rsid w:val="00870697"/>
    <w:rsid w:val="00871BDA"/>
    <w:rsid w:val="00966972"/>
    <w:rsid w:val="009B21A7"/>
    <w:rsid w:val="009B679C"/>
    <w:rsid w:val="00A72CEA"/>
    <w:rsid w:val="00B27F1C"/>
    <w:rsid w:val="00BD6F35"/>
    <w:rsid w:val="00E11AD2"/>
    <w:rsid w:val="00E604C6"/>
    <w:rsid w:val="00F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2F6ED5"/>
  <w15:chartTrackingRefBased/>
  <w15:docId w15:val="{A9C01824-99B7-49BE-A0C1-F5DFBE2B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BD6F35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rsid w:val="00BD6F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D6F3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D6F35"/>
    <w:rPr>
      <w:color w:val="0563C1"/>
      <w:u w:val="single"/>
    </w:rPr>
  </w:style>
  <w:style w:type="paragraph" w:styleId="Sidfot">
    <w:name w:val="footer"/>
    <w:basedOn w:val="Normal"/>
    <w:link w:val="SidfotChar"/>
    <w:uiPriority w:val="99"/>
    <w:unhideWhenUsed/>
    <w:rsid w:val="00BD6F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6F35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CBD3.35C1DB10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wmf"/><Relationship Id="rId4" Type="http://schemas.openxmlformats.org/officeDocument/2006/relationships/image" Target="media/image4.jpeg"/><Relationship Id="rId9" Type="http://schemas.openxmlformats.org/officeDocument/2006/relationships/hyperlink" Target="mailto:jennie.salmen@kristiansta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Salmén</dc:creator>
  <cp:keywords/>
  <dc:description/>
  <cp:lastModifiedBy>Jennie Salmén</cp:lastModifiedBy>
  <cp:revision>2</cp:revision>
  <dcterms:created xsi:type="dcterms:W3CDTF">2023-04-06T11:29:00Z</dcterms:created>
  <dcterms:modified xsi:type="dcterms:W3CDTF">2023-04-06T11:29:00Z</dcterms:modified>
</cp:coreProperties>
</file>